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360" w:firstLine="0"/>
      </w:pPr>
    </w:p>
    <w:p>
      <w:pPr>
        <w:pStyle w:val="Body"/>
        <w:ind w:left="360" w:firstLine="0"/>
      </w:pPr>
    </w:p>
    <w:p>
      <w:pPr>
        <w:pStyle w:val="Body"/>
        <w:ind w:left="360" w:firstLine="0"/>
      </w:pPr>
    </w:p>
    <w:p>
      <w:pPr>
        <w:pStyle w:val="Body"/>
        <w:ind w:left="360" w:firstLine="0"/>
      </w:pPr>
    </w:p>
    <w:p>
      <w:pPr>
        <w:pStyle w:val="Body"/>
        <w:ind w:left="360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To Whom it May Concern:</w:t>
      </w:r>
    </w:p>
    <w:p>
      <w:pPr>
        <w:pStyle w:val="Body"/>
      </w:pPr>
    </w:p>
    <w:p>
      <w:pPr>
        <w:pStyle w:val="Body"/>
        <w:ind w:left="360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My </w:t>
      </w:r>
      <w:r>
        <w:rPr>
          <w:i w:val="1"/>
          <w:iCs w:val="1"/>
          <w:rtl w:val="1"/>
        </w:rPr>
        <w:t xml:space="preserve">‘ 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child</w:t>
      </w:r>
      <w:r>
        <w:rPr>
          <w:b w:val="1"/>
          <w:bCs w:val="1"/>
          <w:i w:val="1"/>
          <w:iCs w:val="1"/>
          <w:u w:val="single"/>
          <w:rtl w:val="1"/>
        </w:rPr>
        <w:t xml:space="preserve">’ </w:t>
      </w:r>
      <w:r>
        <w:rPr>
          <w:i w:val="1"/>
          <w:iCs w:val="1"/>
          <w:rtl w:val="0"/>
          <w:lang w:val="en-US"/>
        </w:rPr>
        <w:t xml:space="preserve"> is authorized within their Person-Centered Plan to receive  </w:t>
      </w:r>
      <w:r>
        <w:rPr>
          <w:i w:val="1"/>
          <w:iCs w:val="1"/>
          <w:rtl w:val="1"/>
        </w:rPr>
        <w:t>‘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speech-language occupational physical therapy</w:t>
      </w:r>
      <w:r>
        <w:rPr>
          <w:i w:val="1"/>
          <w:iCs w:val="1"/>
          <w:rtl w:val="0"/>
        </w:rPr>
        <w:t xml:space="preserve">’  </w:t>
      </w:r>
      <w:r>
        <w:rPr>
          <w:i w:val="1"/>
          <w:iCs w:val="1"/>
          <w:rtl w:val="0"/>
          <w:lang w:val="en-US"/>
        </w:rPr>
        <w:t>services through my Community Mental Health Plan. During the COVID-19 pandemic, and Governor Whitmer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en-US"/>
        </w:rPr>
        <w:t xml:space="preserve">s Executive Order to Stay Home and Stay Safe, we are unable to receive face to face services through our Provider. However, based on the current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COVID-19 Encounter Chart these services are not even available to my child through our CMH via a teletherapy option.  </w:t>
      </w:r>
    </w:p>
    <w:p>
      <w:pPr>
        <w:pStyle w:val="Body"/>
        <w:ind w:left="360" w:firstLine="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360" w:firstLine="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rtl w:val="0"/>
          <w:lang w:val="en-US"/>
        </w:rPr>
        <w:t>Our Provider, Children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en-US"/>
        </w:rPr>
        <w:t>s Therapy Corner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has provided teletherapy services for clients since March 24, during this pandemic and in compliance with Governor Whitmer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Order to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Stay Home and Stay Safe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However, based on the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restrictions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imposed by the MDHHS and the Behavioral Health and Developmental Disabilities Administration, Children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Therapy Corner is unable to provide intervention for their CMH clients, and therefore my child.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therapy codes for these disciplines are neither covered for face to face or for teletherapy.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essence, my child and my family are not provided service, even though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Children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Therapy Corner has the capacity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to serve us.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ind w:left="360" w:firstLine="0"/>
        <w:rPr>
          <w:i w:val="1"/>
          <w:iCs w:val="1"/>
        </w:rPr>
      </w:pPr>
    </w:p>
    <w:p>
      <w:pPr>
        <w:pStyle w:val="Body"/>
        <w:ind w:left="360" w:firstLine="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can be done to provide the necessary teletherapy codes for therapy sessions for speech-language, occupational and physical therapy on the COVID-19 Encounter Chart?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 requesting clarification and rationale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elimination of these reimbursement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codes for these therapeutic interventions.  My child needs the mandated intervention just as other children with coverage through their private medical plans.</w:t>
      </w:r>
    </w:p>
    <w:p>
      <w:pPr>
        <w:pStyle w:val="Body"/>
        <w:ind w:left="360" w:firstLine="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360" w:firstLine="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 you for your assistance in this matter and I look forward to your response.</w:t>
      </w:r>
    </w:p>
    <w:p>
      <w:pPr>
        <w:pStyle w:val="Body"/>
        <w:ind w:left="360" w:firstLine="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360" w:firstLine="0"/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Sincerely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